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 w:val="0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越级申报</w:t>
      </w:r>
      <w:r>
        <w:rPr>
          <w:rFonts w:hint="eastAsia" w:ascii="方正大标宋简体" w:hAnsi="方正大标宋简体" w:eastAsia="方正大标宋简体" w:cs="方正大标宋简体"/>
          <w:bCs w:val="0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企业提供材料参考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一、</w:t>
      </w:r>
      <w:r>
        <w:rPr>
          <w:rFonts w:hint="default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</w:rPr>
        <w:t>行业主管部门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提供</w:t>
      </w:r>
      <w:r>
        <w:rPr>
          <w:rFonts w:hint="default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</w:rPr>
        <w:t>的关于“在全国或全省同行业中地位靠前或影响力较大的重点企业”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证明材料。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二、如只有</w:t>
      </w:r>
      <w:r>
        <w:rPr>
          <w:rFonts w:hint="default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</w:rPr>
        <w:t>行业协会出具</w:t>
      </w:r>
      <w:r>
        <w:rPr>
          <w:rFonts w:hint="eastAsia" w:ascii="仿宋_GB2312" w:hAnsi="仿宋_GB2312" w:eastAsia="仿宋_GB2312" w:cs="仿宋_GB2312"/>
          <w:bCs w:val="0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的相关情况，说明内容应包括以下内容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（一）企业规模。规上企业往往拥有更多的生产设备、更多的员工、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更稳定的财务状况和更高的盈利能力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（基本上应为龙头企业）。要写明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企业年报、财务报表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方面的分析，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如资产规模、利润状况等。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（二）</w:t>
      </w:r>
      <w:r>
        <w:rPr>
          <w:rFonts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市场份额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。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通过企业的销售额和市场份额，可以评估该企业在行业内的竞争地位和影响力。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要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通过行业数据以及相关专业机构发布的排行榜来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证明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（三）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技术创新和产品质量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。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技术创新和产品质量是衡量企业竞争力的重要指标。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要写明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企业是否进行了技术创新、产品研发以及产品质量认证等方面的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内容，同时要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考虑企业的生产能力和供应链管理能力。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以此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来评估企业的竞争力。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（四）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品牌知名度和声誉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。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品牌知名度和声誉在市场竞争中起着重要作用。</w:t>
      </w: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要写明</w:t>
      </w:r>
      <w:r>
        <w:rPr>
          <w:rFonts w:hint="default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企业在行业内的品牌知名度、用户口碑以及行业评级等方面的信息来评估企业的声誉。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三、同时应上传以上内容提及的所获相关荣誉的扫描件。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PingFangSC-Regular" w:hAnsi="PingFangSC-Regular" w:eastAsia="PingFangSC-Regular" w:cs="PingFangSC-Regular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四、行业协会应严格把关，如发现弄虚作假等问题将通报相关行业协会主管部门处理。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ingFangSC-Regular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33236"/>
    <w:rsid w:val="347317BB"/>
    <w:rsid w:val="3BB33236"/>
    <w:rsid w:val="3F7F7B16"/>
    <w:rsid w:val="5FB0A550"/>
    <w:rsid w:val="6ECF866A"/>
    <w:rsid w:val="7B2B9EF2"/>
    <w:rsid w:val="7C5B09E8"/>
    <w:rsid w:val="AFB7C32C"/>
    <w:rsid w:val="C9F7E6AA"/>
    <w:rsid w:val="CBDFC21B"/>
    <w:rsid w:val="DFFEBF31"/>
    <w:rsid w:val="FCFE8ECF"/>
    <w:rsid w:val="FFEEA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37.6666666666667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2024-02-29T01:27:00Z</dcterms:created>
  <dc:creator>hjm</dc:creator>
  <cp:lastModifiedBy>简简单单</cp:lastModifiedBy>
  <cp:lastPrinted>2024-02-29T01:48:06Z</cp:lastPrinted>
  <dcterms:modified xsi:type="dcterms:W3CDTF">2024-03-05T04:03:29Z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00033A47E60642C787B1E0B15DACC095_13</vt:lpwstr>
  </property>
</Properties>
</file>